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3E2" w14:textId="6309D60E" w:rsidR="008D5E9A" w:rsidRPr="00023486" w:rsidRDefault="00023486" w:rsidP="00023486">
      <w:pPr>
        <w:tabs>
          <w:tab w:val="left" w:pos="270"/>
        </w:tabs>
        <w:spacing w:after="0" w:line="240" w:lineRule="atLeast"/>
        <w:ind w:right="-655"/>
        <w:jc w:val="center"/>
        <w:rPr>
          <w:rFonts w:ascii="Arial" w:hAnsi="Arial" w:cs="Arial"/>
          <w:b/>
          <w:sz w:val="26"/>
          <w:szCs w:val="26"/>
        </w:rPr>
      </w:pPr>
      <w:r w:rsidRPr="00023486">
        <w:rPr>
          <w:rFonts w:ascii="Arial" w:hAnsi="Arial" w:cs="Arial"/>
          <w:b/>
          <w:sz w:val="26"/>
          <w:szCs w:val="26"/>
        </w:rPr>
        <w:t>GENERAL TERMS AND CONDITIONS FOR PURCHASE CONTRACTS</w:t>
      </w:r>
    </w:p>
    <w:p w14:paraId="64A61BE9" w14:textId="77777777" w:rsidR="008D5E9A" w:rsidRPr="003A38FF" w:rsidRDefault="008D5E9A" w:rsidP="00023486">
      <w:pPr>
        <w:tabs>
          <w:tab w:val="left" w:pos="270"/>
        </w:tabs>
        <w:spacing w:after="0" w:line="240" w:lineRule="atLeast"/>
        <w:ind w:right="-655"/>
        <w:jc w:val="center"/>
        <w:rPr>
          <w:rFonts w:ascii="Arial" w:hAnsi="Arial" w:cs="Arial"/>
          <w:b/>
          <w:sz w:val="28"/>
          <w:szCs w:val="28"/>
        </w:rPr>
      </w:pPr>
    </w:p>
    <w:p w14:paraId="2178D937" w14:textId="19EB3374" w:rsidR="008D5E9A" w:rsidRPr="003A38FF" w:rsidRDefault="00023486" w:rsidP="00023486">
      <w:pPr>
        <w:pStyle w:val="Odstavecseseznamem"/>
        <w:tabs>
          <w:tab w:val="left" w:pos="270"/>
        </w:tabs>
        <w:spacing w:after="0" w:line="240" w:lineRule="atLeast"/>
        <w:ind w:left="0" w:right="-655"/>
        <w:contextualSpacing w:val="0"/>
        <w:jc w:val="center"/>
        <w:rPr>
          <w:rFonts w:ascii="Arial" w:hAnsi="Arial" w:cs="Arial"/>
          <w:b/>
          <w:sz w:val="24"/>
          <w:szCs w:val="24"/>
        </w:rPr>
      </w:pPr>
      <w:r>
        <w:rPr>
          <w:rFonts w:ascii="Arial" w:hAnsi="Arial" w:cs="Arial"/>
          <w:b/>
          <w:sz w:val="24"/>
          <w:szCs w:val="24"/>
          <w:lang w:val="ru-RU"/>
        </w:rPr>
        <w:t>№</w:t>
      </w:r>
      <w:r w:rsidR="003C6ED3">
        <w:rPr>
          <w:rFonts w:ascii="Arial" w:hAnsi="Arial" w:cs="Arial"/>
          <w:b/>
          <w:sz w:val="24"/>
          <w:szCs w:val="24"/>
        </w:rPr>
        <w:t xml:space="preserve"> 1607</w:t>
      </w:r>
      <w:r w:rsidR="008D5E9A" w:rsidRPr="003A38FF">
        <w:rPr>
          <w:rFonts w:ascii="Arial" w:hAnsi="Arial" w:cs="Arial"/>
          <w:b/>
          <w:sz w:val="24"/>
          <w:szCs w:val="24"/>
        </w:rPr>
        <w:t>19</w:t>
      </w:r>
    </w:p>
    <w:p w14:paraId="3431DCDC" w14:textId="77777777" w:rsidR="008D5E9A" w:rsidRDefault="008D5E9A" w:rsidP="00023486">
      <w:pPr>
        <w:pStyle w:val="Odstavecseseznamem"/>
        <w:tabs>
          <w:tab w:val="left" w:pos="270"/>
        </w:tabs>
        <w:spacing w:after="0" w:line="240" w:lineRule="atLeast"/>
        <w:ind w:left="0" w:right="-655"/>
        <w:contextualSpacing w:val="0"/>
        <w:jc w:val="center"/>
        <w:rPr>
          <w:rFonts w:ascii="Arial" w:hAnsi="Arial" w:cs="Arial"/>
          <w:b/>
          <w:sz w:val="18"/>
          <w:szCs w:val="18"/>
        </w:rPr>
      </w:pPr>
    </w:p>
    <w:p w14:paraId="5C3AE682" w14:textId="3559AC40" w:rsidR="003C6ED3" w:rsidRPr="003C6ED3" w:rsidRDefault="00023486" w:rsidP="003C6ED3">
      <w:pPr>
        <w:pStyle w:val="Odstavecseseznamem"/>
        <w:numPr>
          <w:ilvl w:val="0"/>
          <w:numId w:val="2"/>
        </w:numPr>
        <w:spacing w:after="0" w:line="240" w:lineRule="atLeast"/>
        <w:ind w:left="90" w:right="-655" w:hanging="567"/>
        <w:contextualSpacing w:val="0"/>
        <w:jc w:val="both"/>
        <w:rPr>
          <w:rFonts w:ascii="Arial" w:hAnsi="Arial" w:cs="Arial"/>
          <w:b/>
          <w:sz w:val="20"/>
          <w:szCs w:val="20"/>
          <w:lang w:val="en-US"/>
        </w:rPr>
      </w:pPr>
      <w:r w:rsidRPr="003C6ED3">
        <w:rPr>
          <w:rFonts w:ascii="Arial" w:hAnsi="Arial" w:cs="Arial"/>
          <w:b/>
          <w:sz w:val="20"/>
          <w:szCs w:val="20"/>
          <w:lang w:val="en-US"/>
        </w:rPr>
        <w:t>General conditions</w:t>
      </w:r>
      <w:r w:rsidR="003C6ED3" w:rsidRPr="003C6ED3">
        <w:rPr>
          <w:rFonts w:ascii="Arial" w:hAnsi="Arial" w:cs="Arial"/>
          <w:b/>
          <w:sz w:val="20"/>
          <w:szCs w:val="20"/>
          <w:lang w:val="en-US"/>
        </w:rPr>
        <w:t xml:space="preserve"> </w:t>
      </w:r>
    </w:p>
    <w:p w14:paraId="5AAA03BC" w14:textId="17B305B0"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These General terms and conditions for purchase contracts (“</w:t>
      </w:r>
      <w:r w:rsidRPr="003C6ED3">
        <w:rPr>
          <w:rFonts w:ascii="Arial" w:hAnsi="Arial" w:cs="Arial"/>
          <w:b/>
          <w:sz w:val="20"/>
          <w:szCs w:val="20"/>
          <w:lang w:val="en-US"/>
        </w:rPr>
        <w:t>Terms</w:t>
      </w:r>
      <w:r w:rsidRPr="003C6ED3">
        <w:rPr>
          <w:rFonts w:ascii="Arial" w:hAnsi="Arial" w:cs="Arial"/>
          <w:sz w:val="20"/>
          <w:szCs w:val="20"/>
          <w:lang w:val="en-US"/>
        </w:rPr>
        <w:t xml:space="preserve">”) of AGRIWELL s.r.o., ID number: 288 82 202, address: </w:t>
      </w:r>
      <w:r w:rsidR="00CB24BE">
        <w:rPr>
          <w:rFonts w:ascii="Arial" w:hAnsi="Arial" w:cs="Arial"/>
          <w:sz w:val="20"/>
          <w:szCs w:val="20"/>
          <w:lang w:val="en-US"/>
        </w:rPr>
        <w:t>Plzeňská 3351/19</w:t>
      </w:r>
      <w:bookmarkStart w:id="0" w:name="_GoBack"/>
      <w:bookmarkEnd w:id="0"/>
      <w:r w:rsidRPr="003C6ED3">
        <w:rPr>
          <w:rFonts w:ascii="Arial" w:hAnsi="Arial" w:cs="Arial"/>
          <w:sz w:val="20"/>
          <w:szCs w:val="20"/>
          <w:lang w:val="en-US"/>
        </w:rPr>
        <w:t>, Smíchov, 150 00 Praha 5, Česká republika, registered by Commercial register maintained by Municipal court in Prague, section C, insert 150860 (“</w:t>
      </w:r>
      <w:r w:rsidRPr="003C6ED3">
        <w:rPr>
          <w:rFonts w:ascii="Arial" w:hAnsi="Arial" w:cs="Arial"/>
          <w:b/>
          <w:sz w:val="20"/>
          <w:szCs w:val="20"/>
          <w:lang w:val="en-US"/>
        </w:rPr>
        <w:t>Seller</w:t>
      </w:r>
      <w:r w:rsidRPr="003C6ED3">
        <w:rPr>
          <w:rFonts w:ascii="Arial" w:hAnsi="Arial" w:cs="Arial"/>
          <w:sz w:val="20"/>
          <w:szCs w:val="20"/>
          <w:lang w:val="en-US"/>
        </w:rPr>
        <w:t>”), regulate under the section 1751 of Act No. 89/2012 Coll., the Civil Code (“</w:t>
      </w:r>
      <w:r w:rsidRPr="003C6ED3">
        <w:rPr>
          <w:rFonts w:ascii="Arial" w:hAnsi="Arial" w:cs="Arial"/>
          <w:b/>
          <w:sz w:val="20"/>
          <w:szCs w:val="20"/>
          <w:lang w:val="en-US"/>
        </w:rPr>
        <w:t>CC</w:t>
      </w:r>
      <w:r w:rsidRPr="003C6ED3">
        <w:rPr>
          <w:rFonts w:ascii="Arial" w:hAnsi="Arial" w:cs="Arial"/>
          <w:sz w:val="20"/>
          <w:szCs w:val="20"/>
          <w:lang w:val="en-US"/>
        </w:rPr>
        <w:t>”) mutual rights and obligations of the contracting parties arising from the purchase contract concluded between the Seller and another person or company (“</w:t>
      </w:r>
      <w:r w:rsidRPr="003C6ED3">
        <w:rPr>
          <w:rFonts w:ascii="Arial" w:hAnsi="Arial" w:cs="Arial"/>
          <w:b/>
          <w:sz w:val="20"/>
          <w:szCs w:val="20"/>
          <w:lang w:val="en-US"/>
        </w:rPr>
        <w:t>Buyer</w:t>
      </w:r>
      <w:r w:rsidRPr="003C6ED3">
        <w:rPr>
          <w:rFonts w:ascii="Arial" w:hAnsi="Arial" w:cs="Arial"/>
          <w:sz w:val="20"/>
          <w:szCs w:val="20"/>
          <w:lang w:val="en-US"/>
        </w:rPr>
        <w:t xml:space="preserve">”). </w:t>
      </w:r>
    </w:p>
    <w:p w14:paraId="475E1C76"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These Terms form an integral part of the purchase contract concluded between the Buyer and the Seller. It is possible to negotiate provisions deviating from the Terms in the purchase contract. Different arrangements in the purchase contract take precedence over the provisions of these Terms.</w:t>
      </w:r>
    </w:p>
    <w:p w14:paraId="0076BA8E"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These Terms are binding between the Buyer and Seller and supersede and replace any Seller terms and conditions or previous agreements for the subject of purchase.</w:t>
      </w:r>
      <w:r w:rsidRPr="003C6ED3">
        <w:rPr>
          <w:rFonts w:ascii="Arial" w:hAnsi="Arial" w:cs="Arial"/>
          <w:sz w:val="20"/>
          <w:szCs w:val="20"/>
        </w:rPr>
        <w:t xml:space="preserve"> </w:t>
      </w:r>
    </w:p>
    <w:p w14:paraId="65DF8B56"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Style w:val="tlid-translation"/>
          <w:rFonts w:ascii="Arial" w:hAnsi="Arial" w:cs="Arial"/>
          <w:sz w:val="20"/>
          <w:szCs w:val="20"/>
          <w:lang w:val="en-GB"/>
        </w:rPr>
      </w:pPr>
      <w:r w:rsidRPr="003C6ED3">
        <w:rPr>
          <w:rStyle w:val="tlid-translation"/>
          <w:rFonts w:ascii="Arial" w:hAnsi="Arial" w:cs="Arial"/>
          <w:sz w:val="20"/>
          <w:szCs w:val="20"/>
          <w:lang w:val="en-GB"/>
        </w:rPr>
        <w:t>By the purchase contract, the Seller undertakes to deliver the ordered goods to the Buyer and to transfer the ownership right to the Buyer and the Buyer undertakes to take over the delivered goods and to pay the Seller the purchase price for it.</w:t>
      </w:r>
    </w:p>
    <w:p w14:paraId="4BF15376" w14:textId="77777777" w:rsidR="003C6ED3" w:rsidRPr="003C6ED3" w:rsidRDefault="003C6ED3" w:rsidP="003C6ED3">
      <w:pPr>
        <w:pStyle w:val="Odstavecseseznamem"/>
        <w:numPr>
          <w:ilvl w:val="0"/>
          <w:numId w:val="2"/>
        </w:numPr>
        <w:spacing w:after="0" w:line="240" w:lineRule="atLeast"/>
        <w:ind w:left="90" w:right="-655" w:hanging="567"/>
        <w:contextualSpacing w:val="0"/>
        <w:jc w:val="both"/>
        <w:rPr>
          <w:rFonts w:ascii="Arial" w:hAnsi="Arial" w:cs="Arial"/>
          <w:b/>
          <w:sz w:val="20"/>
          <w:szCs w:val="20"/>
          <w:lang w:val="en-GB"/>
        </w:rPr>
      </w:pPr>
      <w:r w:rsidRPr="003C6ED3">
        <w:rPr>
          <w:rFonts w:ascii="Arial" w:hAnsi="Arial" w:cs="Arial"/>
          <w:b/>
          <w:sz w:val="20"/>
          <w:szCs w:val="20"/>
          <w:lang w:val="en-GB"/>
        </w:rPr>
        <w:t>Seller’s obligations and warranties</w:t>
      </w:r>
    </w:p>
    <w:p w14:paraId="041BA66B"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The Seller warrants that the subject of purchase (“</w:t>
      </w:r>
      <w:r w:rsidRPr="003C6ED3">
        <w:rPr>
          <w:rFonts w:ascii="Arial" w:hAnsi="Arial" w:cs="Arial"/>
          <w:b/>
          <w:sz w:val="20"/>
          <w:szCs w:val="20"/>
          <w:lang w:val="en-US"/>
        </w:rPr>
        <w:t>Goods</w:t>
      </w:r>
      <w:r w:rsidRPr="003C6ED3">
        <w:rPr>
          <w:rFonts w:ascii="Arial" w:hAnsi="Arial" w:cs="Arial"/>
          <w:sz w:val="20"/>
          <w:szCs w:val="20"/>
          <w:lang w:val="en-US"/>
        </w:rPr>
        <w:t>”) corresponds with the description in the purchase contract and any applicable specifications.</w:t>
      </w:r>
    </w:p>
    <w:p w14:paraId="33CC1477"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The Seller warrants that it sells the Goods to the Buyer free from all liens and encumbrances and with full title guarantee (unless otherwise expressly stated in the purchase contract).</w:t>
      </w:r>
    </w:p>
    <w:p w14:paraId="3739D88C"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The Seller shall ensure that the Goods are properly packed and secured in such a manner as to enable them to reach their destination in good condition.</w:t>
      </w:r>
    </w:p>
    <w:p w14:paraId="413538FE"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The Seller warrants that it will comply with applicable laws and regulations in supplying the Goods, including without limitation all import, export, environmental and data privacy laws and regulations.</w:t>
      </w:r>
    </w:p>
    <w:p w14:paraId="31D842B7"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Any third party products sold by the Seller may carry their own warranties and Seller shall pass through to Buyer any and all such warranties to the fullest extent. Exercise of such warranty shall be directly between Seller and the third party provider.</w:t>
      </w:r>
    </w:p>
    <w:p w14:paraId="5084232C"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This warranty clause is in addition to and not to the exclusion of any warranty or service guarantee stated in the purchase contract, offered by the Seller or implied or required by applicable law.</w:t>
      </w:r>
    </w:p>
    <w:p w14:paraId="78462DC4" w14:textId="77777777" w:rsidR="003C6ED3" w:rsidRPr="003C6ED3" w:rsidRDefault="003C6ED3" w:rsidP="003C6ED3">
      <w:pPr>
        <w:pStyle w:val="Odstavecseseznamem"/>
        <w:numPr>
          <w:ilvl w:val="0"/>
          <w:numId w:val="2"/>
        </w:numPr>
        <w:spacing w:after="0" w:line="240" w:lineRule="atLeast"/>
        <w:ind w:left="90" w:right="-655" w:hanging="567"/>
        <w:contextualSpacing w:val="0"/>
        <w:jc w:val="both"/>
        <w:rPr>
          <w:rFonts w:ascii="Arial" w:hAnsi="Arial" w:cs="Arial"/>
          <w:b/>
          <w:sz w:val="20"/>
          <w:szCs w:val="20"/>
          <w:lang w:val="en-US"/>
        </w:rPr>
      </w:pPr>
      <w:r w:rsidRPr="003C6ED3">
        <w:rPr>
          <w:rFonts w:ascii="Arial" w:hAnsi="Arial" w:cs="Arial"/>
          <w:b/>
          <w:sz w:val="20"/>
          <w:szCs w:val="20"/>
          <w:lang w:val="en-US"/>
        </w:rPr>
        <w:t>Purchase price and payment</w:t>
      </w:r>
    </w:p>
    <w:p w14:paraId="3756AFCA"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The price of the Goods is the price stated in the purchase contract. The price includes all packaging, transportation costs to the delivery location, insurance, customs duties and fees and applicable taxes, including, but not limited to, all value- added taxes, sales, use or excise taxes. No increase in the price is effective, whether due to increased material, labor or transportation costs or otherwise, without Buyer’s prior written consent.</w:t>
      </w:r>
    </w:p>
    <w:p w14:paraId="13A2AE54"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Seller shall issue an invoice only in accordance with the purchase contract and these Terms. The invoice can be sent by e-mail or by post according sole Seller´s decision.</w:t>
      </w:r>
    </w:p>
    <w:p w14:paraId="63068D1A"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 xml:space="preserve">Except as otherwise set forth on the face of the purchase contract, Buyer shall pay all properly invoiced amounts due to Seller 14 days after Buyer’s receipt of such invoice. </w:t>
      </w:r>
    </w:p>
    <w:p w14:paraId="0D600E51" w14:textId="77777777" w:rsidR="003C6ED3" w:rsidRPr="003C6ED3" w:rsidRDefault="003C6ED3" w:rsidP="003C6ED3">
      <w:pPr>
        <w:pStyle w:val="Odstavecseseznamem"/>
        <w:numPr>
          <w:ilvl w:val="1"/>
          <w:numId w:val="2"/>
        </w:numPr>
        <w:spacing w:after="0" w:line="240" w:lineRule="atLeast"/>
        <w:ind w:left="90" w:right="-655" w:hanging="567"/>
        <w:contextualSpacing w:val="0"/>
        <w:jc w:val="both"/>
        <w:rPr>
          <w:rFonts w:ascii="Arial" w:hAnsi="Arial" w:cs="Arial"/>
          <w:sz w:val="20"/>
          <w:szCs w:val="20"/>
          <w:lang w:val="en-US"/>
        </w:rPr>
      </w:pPr>
      <w:r w:rsidRPr="003C6ED3">
        <w:rPr>
          <w:rFonts w:ascii="Arial" w:hAnsi="Arial" w:cs="Arial"/>
          <w:sz w:val="20"/>
          <w:szCs w:val="20"/>
          <w:lang w:val="en-US"/>
        </w:rPr>
        <w:t xml:space="preserve">All payments hereunder will be in euros and made by wire transfer or as may otherwise be agreed between Buyer and Seller. </w:t>
      </w:r>
    </w:p>
    <w:p w14:paraId="3911F42C"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The day of crediiting the paid amount on the Seller’s account shall be considered the payment day.</w:t>
      </w:r>
    </w:p>
    <w:p w14:paraId="00D0FF0D" w14:textId="77777777" w:rsidR="003C6ED3" w:rsidRPr="003C6ED3" w:rsidRDefault="003C6ED3" w:rsidP="003C6ED3">
      <w:pPr>
        <w:pStyle w:val="Odstavecseseznamem"/>
        <w:numPr>
          <w:ilvl w:val="0"/>
          <w:numId w:val="2"/>
        </w:numPr>
        <w:spacing w:after="0" w:line="240" w:lineRule="atLeast"/>
        <w:ind w:left="90" w:right="-655" w:hanging="567"/>
        <w:contextualSpacing w:val="0"/>
        <w:jc w:val="both"/>
        <w:rPr>
          <w:rFonts w:ascii="Arial" w:hAnsi="Arial" w:cs="Arial"/>
          <w:b/>
          <w:sz w:val="20"/>
          <w:szCs w:val="20"/>
          <w:lang w:val="en-US"/>
        </w:rPr>
      </w:pPr>
      <w:r w:rsidRPr="003C6ED3">
        <w:rPr>
          <w:rFonts w:ascii="Arial" w:hAnsi="Arial" w:cs="Arial"/>
          <w:b/>
          <w:sz w:val="20"/>
          <w:szCs w:val="20"/>
          <w:lang w:val="en-US"/>
        </w:rPr>
        <w:t>Delivery</w:t>
      </w:r>
    </w:p>
    <w:p w14:paraId="6CD538A3"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Goods shall be delivered to the address specified in the purchase contract unless agreed otherwise.</w:t>
      </w:r>
    </w:p>
    <w:p w14:paraId="4AEAB7C8"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lastRenderedPageBreak/>
        <w:t xml:space="preserve">Seller shall deliver the Goods in the ordered quantities on the date(s) specified in the purchase contract or as otherwise agreed in writing by the parties. Timely delivery of the Goods is of the essence. </w:t>
      </w:r>
    </w:p>
    <w:p w14:paraId="29994EB2"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 xml:space="preserve">Seller shall give notice of shipment to Buyer when the Goods are delivered to a commercial carrier. Seller shall provide Buyer all shipping documents necessary to release the Goods to Buyer promptly after Seller delivers the Goods to the transportation carrier. </w:t>
      </w:r>
    </w:p>
    <w:p w14:paraId="796CD0BC"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 xml:space="preserve">Goods must be packed for shipment in a manner sufficient to ensure that the Goods are delivered in undamaged condition. Goods shall be marked and labeled in compliance with all applicable laws, standards and regulations. </w:t>
      </w:r>
    </w:p>
    <w:p w14:paraId="5E90C6D6"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Title passes to Buyer upon paying whole price of the Goods. Seller bears all risk of loss or damage to the Goods until delivery of the Goods to the delivery location.</w:t>
      </w:r>
    </w:p>
    <w:p w14:paraId="7328FA66"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 xml:space="preserve">The Buyer is obliged to control the quality and amount of the Goods at the moment of delivery. In the event the Goods delivered by the Seller do not conform with the purchase contract whether by reason of not being of the quality or in the quantity or measurement stipulated or being unfit for the purpose they are required, the Buyer is obliged to notify this finding by e-mail to the Seller immediately after the delivery, no later than 24 hours after the delivery. The Seller is not responsible for any defects or claims which will be claimed by the Buyer to the Seller more than 24 hours after the delivery. </w:t>
      </w:r>
    </w:p>
    <w:p w14:paraId="061B0229" w14:textId="77777777" w:rsidR="003C6ED3" w:rsidRPr="003C6ED3" w:rsidRDefault="003C6ED3" w:rsidP="003C6ED3">
      <w:pPr>
        <w:pStyle w:val="Odstavecseseznamem"/>
        <w:numPr>
          <w:ilvl w:val="0"/>
          <w:numId w:val="2"/>
        </w:numPr>
        <w:spacing w:after="0" w:line="240" w:lineRule="atLeast"/>
        <w:ind w:left="90" w:right="-655" w:hanging="567"/>
        <w:contextualSpacing w:val="0"/>
        <w:jc w:val="both"/>
        <w:rPr>
          <w:rFonts w:ascii="Arial" w:hAnsi="Arial" w:cs="Arial"/>
          <w:b/>
          <w:sz w:val="20"/>
          <w:szCs w:val="20"/>
          <w:lang w:val="en-US"/>
        </w:rPr>
      </w:pPr>
      <w:r w:rsidRPr="003C6ED3">
        <w:rPr>
          <w:rFonts w:ascii="Arial" w:hAnsi="Arial" w:cs="Arial"/>
          <w:b/>
          <w:sz w:val="20"/>
          <w:szCs w:val="20"/>
          <w:lang w:val="en-US"/>
        </w:rPr>
        <w:t>Nonconforming Goods</w:t>
      </w:r>
    </w:p>
    <w:p w14:paraId="552E8FF9"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 xml:space="preserve">Buyer may inspect all or a sample of the Goods on the delivery date. </w:t>
      </w:r>
    </w:p>
    <w:p w14:paraId="76561C52"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If the Seller identifies nonconforming Goods prior to or following shipment to Buyer, Seller shall notify Buyer immediately. Buyer will evaluate the nonconformance and determine appropriate disposition.</w:t>
      </w:r>
    </w:p>
    <w:p w14:paraId="60895FF6" w14:textId="77777777" w:rsidR="003C6ED3" w:rsidRPr="003C6ED3" w:rsidRDefault="003C6ED3" w:rsidP="003C6ED3">
      <w:pPr>
        <w:pStyle w:val="Odstavecseseznamem"/>
        <w:numPr>
          <w:ilvl w:val="0"/>
          <w:numId w:val="2"/>
        </w:numPr>
        <w:spacing w:after="0" w:line="240" w:lineRule="atLeast"/>
        <w:ind w:left="90" w:right="-655" w:hanging="567"/>
        <w:contextualSpacing w:val="0"/>
        <w:jc w:val="both"/>
        <w:rPr>
          <w:rFonts w:ascii="Arial" w:hAnsi="Arial" w:cs="Arial"/>
          <w:b/>
          <w:sz w:val="20"/>
          <w:szCs w:val="20"/>
          <w:lang w:val="en-US"/>
        </w:rPr>
      </w:pPr>
      <w:r w:rsidRPr="003C6ED3">
        <w:rPr>
          <w:rFonts w:ascii="Arial" w:hAnsi="Arial" w:cs="Arial"/>
          <w:b/>
          <w:sz w:val="20"/>
          <w:szCs w:val="20"/>
          <w:lang w:val="en-US"/>
        </w:rPr>
        <w:t>Penalties</w:t>
      </w:r>
    </w:p>
    <w:p w14:paraId="1133490C" w14:textId="77777777" w:rsidR="003C6ED3" w:rsidRPr="003C6ED3" w:rsidRDefault="003C6ED3" w:rsidP="003C6ED3">
      <w:pPr>
        <w:pStyle w:val="Odstavecseseznamem"/>
        <w:spacing w:after="0" w:line="240" w:lineRule="atLeast"/>
        <w:ind w:left="90" w:right="-655"/>
        <w:contextualSpacing w:val="0"/>
        <w:jc w:val="both"/>
        <w:rPr>
          <w:rFonts w:ascii="Arial" w:hAnsi="Arial" w:cs="Arial"/>
          <w:sz w:val="20"/>
          <w:szCs w:val="20"/>
          <w:lang w:val="en-US"/>
        </w:rPr>
      </w:pPr>
      <w:r w:rsidRPr="003C6ED3">
        <w:rPr>
          <w:rFonts w:ascii="Arial" w:hAnsi="Arial" w:cs="Arial"/>
          <w:sz w:val="20"/>
          <w:szCs w:val="20"/>
          <w:lang w:val="en-US"/>
        </w:rPr>
        <w:t>In case of expiration of payment time-limit (either down payment or second payment) the Buyer is obliged to pay to the Seller the penalty of 0,4 % for each day of delay from the total amount of non-paid purchase price.</w:t>
      </w:r>
      <w:r w:rsidRPr="003C6ED3">
        <w:rPr>
          <w:rFonts w:ascii="Arial" w:hAnsi="Arial" w:cs="Arial"/>
          <w:sz w:val="20"/>
          <w:szCs w:val="20"/>
        </w:rPr>
        <w:t xml:space="preserve"> </w:t>
      </w:r>
      <w:r w:rsidRPr="003C6ED3">
        <w:rPr>
          <w:rFonts w:ascii="Arial" w:hAnsi="Arial" w:cs="Arial"/>
          <w:sz w:val="20"/>
          <w:szCs w:val="20"/>
          <w:lang w:val="en-US"/>
        </w:rPr>
        <w:t>The payment of penalty does not release the Buyer from the discharge of the obligation by this contract and compensation of caused losses.</w:t>
      </w:r>
    </w:p>
    <w:p w14:paraId="7785FB51" w14:textId="77777777" w:rsidR="003C6ED3" w:rsidRPr="003C6ED3" w:rsidRDefault="003C6ED3" w:rsidP="003C6ED3">
      <w:pPr>
        <w:pStyle w:val="Odstavecseseznamem"/>
        <w:numPr>
          <w:ilvl w:val="0"/>
          <w:numId w:val="2"/>
        </w:numPr>
        <w:spacing w:after="0" w:line="240" w:lineRule="atLeast"/>
        <w:ind w:left="90" w:right="-655" w:hanging="567"/>
        <w:contextualSpacing w:val="0"/>
        <w:jc w:val="both"/>
        <w:rPr>
          <w:rFonts w:ascii="Arial" w:hAnsi="Arial" w:cs="Arial"/>
          <w:b/>
          <w:sz w:val="20"/>
          <w:szCs w:val="20"/>
          <w:lang w:val="en-US"/>
        </w:rPr>
      </w:pPr>
      <w:r w:rsidRPr="003C6ED3">
        <w:rPr>
          <w:rFonts w:ascii="Arial" w:hAnsi="Arial" w:cs="Arial"/>
          <w:b/>
          <w:sz w:val="20"/>
          <w:szCs w:val="20"/>
          <w:lang w:val="en-US"/>
        </w:rPr>
        <w:t>Responsibility</w:t>
      </w:r>
    </w:p>
    <w:p w14:paraId="6A0747D6"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The Buyer shall not be liable to the Seller for any delay or failure in performing his obligations under the purchase contract to the extent such delay or failure is caused by an event or circumstance that is beyond the Buyer’s reasonable control, without such Buyer’s fault or negligence, and which by its nature could not have been foreseen by the Buyer or, if it could have been foreseen, was unavoidable. These events include, but are not limited to, acts of God or the public enemy, government restrictions, floods, fire, earthquakes, explosion, epidemic, war, invasion, hostilities, terrorist acts, riots, strikes, embargoes or industrial disturbances.</w:t>
      </w:r>
    </w:p>
    <w:p w14:paraId="345BCEDC"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The Seller is not responsible for the delay in delivery if a forwarding company is responsible for the delay</w:t>
      </w:r>
      <w:r w:rsidRPr="003C6ED3">
        <w:rPr>
          <w:rFonts w:ascii="Arial" w:hAnsi="Arial" w:cs="Arial"/>
          <w:b/>
          <w:sz w:val="20"/>
          <w:szCs w:val="20"/>
          <w:lang w:val="en-US"/>
        </w:rPr>
        <w:t>.</w:t>
      </w:r>
    </w:p>
    <w:p w14:paraId="411B99E6" w14:textId="77777777" w:rsidR="003C6ED3" w:rsidRPr="003C6ED3" w:rsidRDefault="003C6ED3" w:rsidP="003C6ED3">
      <w:pPr>
        <w:pStyle w:val="Odstavecseseznamem"/>
        <w:numPr>
          <w:ilvl w:val="0"/>
          <w:numId w:val="2"/>
        </w:numPr>
        <w:spacing w:after="0" w:line="240" w:lineRule="atLeast"/>
        <w:ind w:left="90" w:right="-655" w:hanging="567"/>
        <w:contextualSpacing w:val="0"/>
        <w:jc w:val="both"/>
        <w:rPr>
          <w:rFonts w:ascii="Arial" w:hAnsi="Arial" w:cs="Arial"/>
          <w:b/>
          <w:sz w:val="20"/>
          <w:szCs w:val="20"/>
          <w:lang w:val="en-US"/>
        </w:rPr>
      </w:pPr>
      <w:r w:rsidRPr="003C6ED3">
        <w:rPr>
          <w:rFonts w:ascii="Arial" w:hAnsi="Arial" w:cs="Arial"/>
          <w:b/>
          <w:sz w:val="20"/>
          <w:szCs w:val="20"/>
          <w:lang w:val="en-US"/>
        </w:rPr>
        <w:t>Termination</w:t>
      </w:r>
    </w:p>
    <w:p w14:paraId="5AEBED70" w14:textId="77777777" w:rsidR="003C6ED3" w:rsidRPr="003C6ED3" w:rsidRDefault="003C6ED3" w:rsidP="003C6ED3">
      <w:pPr>
        <w:pStyle w:val="Odstavecseseznamem"/>
        <w:spacing w:after="0" w:line="240" w:lineRule="atLeast"/>
        <w:ind w:left="90" w:right="-655"/>
        <w:contextualSpacing w:val="0"/>
        <w:jc w:val="both"/>
        <w:rPr>
          <w:rFonts w:ascii="Arial" w:hAnsi="Arial" w:cs="Arial"/>
          <w:sz w:val="20"/>
          <w:szCs w:val="20"/>
          <w:lang w:val="en-US"/>
        </w:rPr>
      </w:pPr>
      <w:r w:rsidRPr="003C6ED3">
        <w:rPr>
          <w:rFonts w:ascii="Arial" w:hAnsi="Arial" w:cs="Arial"/>
          <w:sz w:val="20"/>
          <w:szCs w:val="20"/>
          <w:lang w:val="en-US"/>
        </w:rPr>
        <w:t>The Seller is entitled to withdraw from this Contract if the Buyer delays any payment by more than 14 days. The withdrawal can be sent by e-mail or by post according to sole Seller´s decision.</w:t>
      </w:r>
    </w:p>
    <w:p w14:paraId="2800B635" w14:textId="77777777" w:rsidR="003C6ED3" w:rsidRPr="003C6ED3" w:rsidRDefault="003C6ED3" w:rsidP="003C6ED3">
      <w:pPr>
        <w:pStyle w:val="Odstavecseseznamem"/>
        <w:numPr>
          <w:ilvl w:val="0"/>
          <w:numId w:val="2"/>
        </w:numPr>
        <w:spacing w:after="0" w:line="240" w:lineRule="atLeast"/>
        <w:ind w:left="90" w:right="-655" w:hanging="567"/>
        <w:contextualSpacing w:val="0"/>
        <w:jc w:val="both"/>
        <w:rPr>
          <w:rFonts w:ascii="Arial" w:hAnsi="Arial" w:cs="Arial"/>
          <w:b/>
          <w:sz w:val="20"/>
          <w:szCs w:val="20"/>
          <w:lang w:val="en-US"/>
        </w:rPr>
      </w:pPr>
      <w:r w:rsidRPr="003C6ED3">
        <w:rPr>
          <w:rFonts w:ascii="Arial" w:hAnsi="Arial" w:cs="Arial"/>
          <w:b/>
          <w:sz w:val="20"/>
          <w:szCs w:val="20"/>
          <w:lang w:val="en-US"/>
        </w:rPr>
        <w:t>Governing law and jurisdiction</w:t>
      </w:r>
    </w:p>
    <w:p w14:paraId="3E5AE4E6"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The laws of the Czech Republic govern the interpretation, implementation and construction of the purchase contract.</w:t>
      </w:r>
    </w:p>
    <w:p w14:paraId="400C16A2"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The contracting parties shall attempt to resolve all disputes in an amicable manner.</w:t>
      </w:r>
      <w:r w:rsidRPr="003C6ED3">
        <w:rPr>
          <w:rFonts w:ascii="Arial" w:hAnsi="Arial" w:cs="Arial"/>
          <w:sz w:val="20"/>
          <w:szCs w:val="20"/>
        </w:rPr>
        <w:t xml:space="preserve"> </w:t>
      </w:r>
    </w:p>
    <w:p w14:paraId="2ACD1ED8"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GB"/>
        </w:rPr>
        <w:t>The Courts of the Czech Republic have exclusive jurisdiction to settle any dispute that arises between the Contracting Parties regarding the implementation or interpretation of this Contract or regarding any other issues in connection with this Contract. If a district court (</w:t>
      </w:r>
      <w:r w:rsidRPr="003C6ED3">
        <w:rPr>
          <w:rFonts w:ascii="Arial" w:hAnsi="Arial" w:cs="Arial"/>
          <w:i/>
          <w:iCs/>
          <w:sz w:val="20"/>
          <w:szCs w:val="20"/>
          <w:lang w:val="en-GB"/>
        </w:rPr>
        <w:t>okresní soud</w:t>
      </w:r>
      <w:r w:rsidRPr="003C6ED3">
        <w:rPr>
          <w:rFonts w:ascii="Arial" w:hAnsi="Arial" w:cs="Arial"/>
          <w:sz w:val="20"/>
          <w:szCs w:val="20"/>
          <w:lang w:val="en-GB"/>
        </w:rPr>
        <w:t>) is a competent court according to the Czech law, the District Court for Prague 1 (</w:t>
      </w:r>
      <w:r w:rsidRPr="003C6ED3">
        <w:rPr>
          <w:rFonts w:ascii="Arial" w:hAnsi="Arial" w:cs="Arial"/>
          <w:i/>
          <w:iCs/>
          <w:sz w:val="20"/>
          <w:szCs w:val="20"/>
          <w:lang w:val="en-GB"/>
        </w:rPr>
        <w:t>Obvodní soud pro Prahu 1</w:t>
      </w:r>
      <w:r w:rsidRPr="003C6ED3">
        <w:rPr>
          <w:rFonts w:ascii="Arial" w:hAnsi="Arial" w:cs="Arial"/>
          <w:sz w:val="20"/>
          <w:szCs w:val="20"/>
          <w:lang w:val="en-GB"/>
        </w:rPr>
        <w:t xml:space="preserve">) shall be the competent court for any dispute in connection with this Contract. If a regional </w:t>
      </w:r>
      <w:r w:rsidRPr="003C6ED3">
        <w:rPr>
          <w:rFonts w:ascii="Arial" w:hAnsi="Arial" w:cs="Arial"/>
          <w:sz w:val="20"/>
          <w:szCs w:val="20"/>
          <w:lang w:val="en-GB"/>
        </w:rPr>
        <w:lastRenderedPageBreak/>
        <w:t>court (</w:t>
      </w:r>
      <w:r w:rsidRPr="003C6ED3">
        <w:rPr>
          <w:rFonts w:ascii="Arial" w:hAnsi="Arial" w:cs="Arial"/>
          <w:i/>
          <w:iCs/>
          <w:sz w:val="20"/>
          <w:szCs w:val="20"/>
          <w:lang w:val="en-GB"/>
        </w:rPr>
        <w:t>krajský soud</w:t>
      </w:r>
      <w:r w:rsidRPr="003C6ED3">
        <w:rPr>
          <w:rFonts w:ascii="Arial" w:hAnsi="Arial" w:cs="Arial"/>
          <w:sz w:val="20"/>
          <w:szCs w:val="20"/>
          <w:lang w:val="en-GB"/>
        </w:rPr>
        <w:t>) is a competent court according to the Czech law, the Municipal Court in Prague (</w:t>
      </w:r>
      <w:r w:rsidRPr="003C6ED3">
        <w:rPr>
          <w:rFonts w:ascii="Arial" w:hAnsi="Arial" w:cs="Arial"/>
          <w:i/>
          <w:iCs/>
          <w:sz w:val="20"/>
          <w:szCs w:val="20"/>
          <w:lang w:val="en-GB"/>
        </w:rPr>
        <w:t>Městský soud v Praze</w:t>
      </w:r>
      <w:r w:rsidRPr="003C6ED3">
        <w:rPr>
          <w:rFonts w:ascii="Arial" w:hAnsi="Arial" w:cs="Arial"/>
          <w:sz w:val="20"/>
          <w:szCs w:val="20"/>
          <w:lang w:val="en-GB"/>
        </w:rPr>
        <w:t>) shall be the competent court in connection with this Contract.</w:t>
      </w:r>
    </w:p>
    <w:p w14:paraId="1A24FDB7" w14:textId="77777777" w:rsidR="003C6ED3" w:rsidRPr="003C6ED3" w:rsidRDefault="003C6ED3" w:rsidP="003C6ED3">
      <w:pPr>
        <w:pStyle w:val="Odstavecseseznamem"/>
        <w:numPr>
          <w:ilvl w:val="0"/>
          <w:numId w:val="2"/>
        </w:numPr>
        <w:spacing w:after="0" w:line="240" w:lineRule="atLeast"/>
        <w:ind w:left="90" w:right="-655" w:hanging="568"/>
        <w:contextualSpacing w:val="0"/>
        <w:jc w:val="both"/>
        <w:rPr>
          <w:rFonts w:ascii="Arial" w:hAnsi="Arial" w:cs="Arial"/>
          <w:b/>
          <w:sz w:val="20"/>
          <w:szCs w:val="20"/>
          <w:lang w:val="en-US"/>
        </w:rPr>
      </w:pPr>
      <w:r w:rsidRPr="003C6ED3">
        <w:rPr>
          <w:rFonts w:ascii="Arial" w:hAnsi="Arial" w:cs="Arial"/>
          <w:b/>
          <w:sz w:val="20"/>
          <w:szCs w:val="20"/>
          <w:lang w:val="en-US"/>
        </w:rPr>
        <w:t>Confidentiality</w:t>
      </w:r>
    </w:p>
    <w:p w14:paraId="182626A1"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Each party undertakes that it shall not at any time disclose to any person any confidential information concerning the purchase contract, business, affairs, customers, clients or suppliers of the other party or of any member of the group of companies to which the other party belongs.</w:t>
      </w:r>
    </w:p>
    <w:p w14:paraId="0AA4BD77"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Where personal data is shared by either party, the receiving party shall comply with applicable data protection laws.</w:t>
      </w:r>
    </w:p>
    <w:p w14:paraId="6D0542F0"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No party shall use any other party's confidential information for any purpose other than to perform its obligations under the purchase contract.</w:t>
      </w:r>
    </w:p>
    <w:p w14:paraId="7DE5E0AD" w14:textId="77777777" w:rsidR="003C6ED3" w:rsidRPr="003C6ED3" w:rsidRDefault="003C6ED3" w:rsidP="003C6ED3">
      <w:pPr>
        <w:pStyle w:val="Odstavecseseznamem"/>
        <w:numPr>
          <w:ilvl w:val="0"/>
          <w:numId w:val="2"/>
        </w:numPr>
        <w:spacing w:after="0" w:line="240" w:lineRule="atLeast"/>
        <w:ind w:left="90" w:right="-655" w:hanging="568"/>
        <w:contextualSpacing w:val="0"/>
        <w:jc w:val="both"/>
        <w:rPr>
          <w:rFonts w:ascii="Arial" w:hAnsi="Arial" w:cs="Arial"/>
          <w:b/>
          <w:sz w:val="20"/>
          <w:szCs w:val="20"/>
          <w:lang w:val="en-US"/>
        </w:rPr>
      </w:pPr>
      <w:r w:rsidRPr="003C6ED3">
        <w:rPr>
          <w:rFonts w:ascii="Arial" w:hAnsi="Arial" w:cs="Arial"/>
          <w:b/>
          <w:sz w:val="20"/>
          <w:szCs w:val="20"/>
          <w:lang w:val="en-US"/>
        </w:rPr>
        <w:t>Final provisions</w:t>
      </w:r>
    </w:p>
    <w:p w14:paraId="76E957D6" w14:textId="77777777" w:rsidR="003C6ED3" w:rsidRPr="003C6ED3" w:rsidRDefault="003C6ED3" w:rsidP="003C6ED3">
      <w:pPr>
        <w:pStyle w:val="Odstavecseseznamem"/>
        <w:numPr>
          <w:ilvl w:val="1"/>
          <w:numId w:val="2"/>
        </w:numPr>
        <w:spacing w:after="0" w:line="240" w:lineRule="atLeast"/>
        <w:ind w:left="90" w:right="-655" w:hanging="568"/>
        <w:jc w:val="both"/>
        <w:rPr>
          <w:rFonts w:ascii="Arial" w:hAnsi="Arial" w:cs="Arial"/>
          <w:sz w:val="20"/>
          <w:szCs w:val="20"/>
          <w:lang w:val="en-US"/>
        </w:rPr>
      </w:pPr>
      <w:r w:rsidRPr="003C6ED3">
        <w:rPr>
          <w:rFonts w:ascii="Arial" w:hAnsi="Arial" w:cs="Arial"/>
          <w:sz w:val="20"/>
          <w:szCs w:val="20"/>
          <w:lang w:val="en-US"/>
        </w:rPr>
        <w:t>The Seller is entitled to modify the Terms unilaterally. Such modification shall be notified to the Buyer by e-mail. Should the Buyer does not agree with the modification, the Buyer is entitled to withdraw from the purchase contract within 14 day after the delivery of the notice.</w:t>
      </w:r>
    </w:p>
    <w:p w14:paraId="70DBAAD8"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 xml:space="preserve">All notices to be given hereunder shall be in writing and shall be deemed to be given when mailed by certified or registered mail, or personal delivery, to the addresses of the parties specified in the purchase contract unless either party shall specify to the other party a different address for the giving of such notice, unless the Terms or the purchase contract specifies different way of delivery of the notices. Where the Terms or purchase contract specify the e-mail as the way of delivery notices, the e-mail shall be sent to e-mail </w:t>
      </w:r>
      <w:r w:rsidRPr="003C6ED3">
        <w:rPr>
          <w:rFonts w:ascii="Arial" w:hAnsi="Arial" w:cs="Arial"/>
          <w:sz w:val="20"/>
          <w:szCs w:val="20"/>
          <w:lang w:val="en-GB"/>
        </w:rPr>
        <w:t>addresses</w:t>
      </w:r>
      <w:r w:rsidRPr="003C6ED3">
        <w:rPr>
          <w:rFonts w:ascii="Arial" w:hAnsi="Arial" w:cs="Arial"/>
          <w:sz w:val="20"/>
          <w:szCs w:val="20"/>
          <w:lang w:val="en-US"/>
        </w:rPr>
        <w:t xml:space="preserve"> specified in the purchase contract.</w:t>
      </w:r>
    </w:p>
    <w:p w14:paraId="36361548"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 xml:space="preserve">The Buyer will not assign its rights or subcontract its duties without the Seller’s written consent. </w:t>
      </w:r>
    </w:p>
    <w:p w14:paraId="53DB4BE3"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No change to or modification of purchase contract shall be binding upon the Seller unless expressly agreed to in writing by the Seller and the Buyer.</w:t>
      </w:r>
    </w:p>
    <w:p w14:paraId="1EFB306A"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If any provision or part-provision of the purchase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purchase contract.</w:t>
      </w:r>
    </w:p>
    <w:p w14:paraId="257D0A08" w14:textId="77777777" w:rsidR="003C6ED3" w:rsidRPr="003C6ED3" w:rsidRDefault="003C6ED3" w:rsidP="003C6ED3">
      <w:pPr>
        <w:pStyle w:val="Odstavecseseznamem"/>
        <w:numPr>
          <w:ilvl w:val="1"/>
          <w:numId w:val="2"/>
        </w:numPr>
        <w:spacing w:after="0" w:line="240" w:lineRule="atLeast"/>
        <w:ind w:left="90" w:right="-655" w:hanging="568"/>
        <w:contextualSpacing w:val="0"/>
        <w:jc w:val="both"/>
        <w:rPr>
          <w:rFonts w:ascii="Arial" w:hAnsi="Arial" w:cs="Arial"/>
          <w:sz w:val="20"/>
          <w:szCs w:val="20"/>
          <w:lang w:val="en-US"/>
        </w:rPr>
      </w:pPr>
      <w:r w:rsidRPr="003C6ED3">
        <w:rPr>
          <w:rFonts w:ascii="Arial" w:hAnsi="Arial" w:cs="Arial"/>
          <w:sz w:val="20"/>
          <w:szCs w:val="20"/>
          <w:lang w:val="en-US"/>
        </w:rPr>
        <w:t xml:space="preserve">If the purchase contract (including Terms) is drawn up in multiple languages and any provisions of its particular versions contradict each other, the English version of the contract shall have priority. </w:t>
      </w:r>
    </w:p>
    <w:p w14:paraId="48F69F3C" w14:textId="77777777" w:rsidR="003C6ED3" w:rsidRPr="003C6ED3" w:rsidRDefault="003C6ED3" w:rsidP="003C6ED3">
      <w:pPr>
        <w:pStyle w:val="Odstavecseseznamem"/>
        <w:spacing w:after="0" w:line="240" w:lineRule="atLeast"/>
        <w:ind w:left="90" w:right="-655"/>
        <w:contextualSpacing w:val="0"/>
        <w:jc w:val="both"/>
        <w:rPr>
          <w:rFonts w:ascii="Arial" w:hAnsi="Arial" w:cs="Arial"/>
          <w:b/>
          <w:sz w:val="20"/>
          <w:szCs w:val="20"/>
          <w:lang w:val="en-US"/>
        </w:rPr>
      </w:pPr>
    </w:p>
    <w:p w14:paraId="3847A1D4" w14:textId="77777777" w:rsidR="003C6ED3" w:rsidRPr="003C6ED3" w:rsidRDefault="003C6ED3" w:rsidP="003C6ED3">
      <w:pPr>
        <w:pStyle w:val="Odstavecseseznamem"/>
        <w:spacing w:after="0" w:line="240" w:lineRule="atLeast"/>
        <w:ind w:left="90" w:right="-655"/>
        <w:contextualSpacing w:val="0"/>
        <w:jc w:val="both"/>
        <w:rPr>
          <w:rFonts w:ascii="Arial" w:hAnsi="Arial" w:cs="Arial"/>
          <w:b/>
          <w:sz w:val="20"/>
          <w:szCs w:val="20"/>
          <w:lang w:val="en-US"/>
        </w:rPr>
      </w:pPr>
    </w:p>
    <w:p w14:paraId="2EE0E0CB" w14:textId="4C3C035C" w:rsidR="00703B7C" w:rsidRPr="003C6ED3" w:rsidRDefault="003C6ED3" w:rsidP="003C6ED3">
      <w:pPr>
        <w:pStyle w:val="Odstavecseseznamem"/>
        <w:tabs>
          <w:tab w:val="left" w:pos="270"/>
        </w:tabs>
        <w:spacing w:after="0" w:line="240" w:lineRule="atLeast"/>
        <w:ind w:left="90" w:right="-655"/>
        <w:contextualSpacing w:val="0"/>
        <w:jc w:val="both"/>
        <w:rPr>
          <w:rFonts w:ascii="Arial" w:hAnsi="Arial" w:cs="Arial"/>
          <w:sz w:val="20"/>
          <w:szCs w:val="20"/>
        </w:rPr>
      </w:pPr>
      <w:r w:rsidRPr="003C6ED3">
        <w:rPr>
          <w:rFonts w:ascii="Arial" w:hAnsi="Arial" w:cs="Arial"/>
          <w:sz w:val="20"/>
          <w:szCs w:val="20"/>
          <w:lang w:val="en-US"/>
        </w:rPr>
        <w:t>Prague, 15</w:t>
      </w:r>
      <w:r w:rsidRPr="003C6ED3">
        <w:rPr>
          <w:rFonts w:ascii="Arial" w:hAnsi="Arial" w:cs="Arial"/>
          <w:sz w:val="20"/>
          <w:szCs w:val="20"/>
          <w:vertAlign w:val="superscript"/>
          <w:lang w:val="en-US"/>
        </w:rPr>
        <w:t xml:space="preserve"> </w:t>
      </w:r>
      <w:r w:rsidRPr="003C6ED3">
        <w:rPr>
          <w:rFonts w:ascii="Arial" w:hAnsi="Arial" w:cs="Arial"/>
          <w:sz w:val="20"/>
          <w:szCs w:val="20"/>
          <w:lang w:val="en-US"/>
        </w:rPr>
        <w:t>July 2019</w:t>
      </w:r>
    </w:p>
    <w:sectPr w:rsidR="00703B7C" w:rsidRPr="003C6ED3" w:rsidSect="00F35A6F">
      <w:headerReference w:type="default" r:id="rId8"/>
      <w:footerReference w:type="even" r:id="rId9"/>
      <w:footerReference w:type="default" r:id="rId10"/>
      <w:pgSz w:w="11900" w:h="16840"/>
      <w:pgMar w:top="1530" w:right="1797" w:bottom="1530" w:left="1758" w:header="0"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01C76" w14:textId="77777777" w:rsidR="0028502E" w:rsidRDefault="0028502E" w:rsidP="001C72AF">
      <w:r>
        <w:separator/>
      </w:r>
    </w:p>
  </w:endnote>
  <w:endnote w:type="continuationSeparator" w:id="0">
    <w:p w14:paraId="70DFA61F" w14:textId="77777777" w:rsidR="0028502E" w:rsidRDefault="0028502E" w:rsidP="001C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F882" w14:textId="77777777" w:rsidR="008306C1" w:rsidRDefault="008306C1" w:rsidP="00023DB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43FB13B" w14:textId="77777777" w:rsidR="008306C1" w:rsidRDefault="008306C1" w:rsidP="008306C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3F0F" w14:textId="77777777" w:rsidR="008306C1" w:rsidRPr="008306C1" w:rsidRDefault="008306C1" w:rsidP="008306C1">
    <w:pPr>
      <w:pStyle w:val="Zpat"/>
      <w:framePr w:wrap="around" w:vAnchor="text" w:hAnchor="page" w:x="6079" w:y="850"/>
      <w:rPr>
        <w:rStyle w:val="slostrnky"/>
        <w:rFonts w:ascii="Arial" w:hAnsi="Arial" w:cs="Arial"/>
        <w:color w:val="7F7F7F" w:themeColor="text1" w:themeTint="80"/>
        <w:sz w:val="20"/>
        <w:szCs w:val="20"/>
      </w:rPr>
    </w:pPr>
    <w:r w:rsidRPr="008306C1">
      <w:rPr>
        <w:rStyle w:val="slostrnky"/>
        <w:rFonts w:ascii="Arial" w:hAnsi="Arial" w:cs="Arial"/>
        <w:color w:val="7F7F7F" w:themeColor="text1" w:themeTint="80"/>
        <w:sz w:val="20"/>
        <w:szCs w:val="20"/>
      </w:rPr>
      <w:fldChar w:fldCharType="begin"/>
    </w:r>
    <w:r w:rsidRPr="008306C1">
      <w:rPr>
        <w:rStyle w:val="slostrnky"/>
        <w:rFonts w:ascii="Arial" w:hAnsi="Arial" w:cs="Arial"/>
        <w:color w:val="7F7F7F" w:themeColor="text1" w:themeTint="80"/>
        <w:sz w:val="20"/>
        <w:szCs w:val="20"/>
      </w:rPr>
      <w:instrText xml:space="preserve">PAGE  </w:instrText>
    </w:r>
    <w:r w:rsidRPr="008306C1">
      <w:rPr>
        <w:rStyle w:val="slostrnky"/>
        <w:rFonts w:ascii="Arial" w:hAnsi="Arial" w:cs="Arial"/>
        <w:color w:val="7F7F7F" w:themeColor="text1" w:themeTint="80"/>
        <w:sz w:val="20"/>
        <w:szCs w:val="20"/>
      </w:rPr>
      <w:fldChar w:fldCharType="separate"/>
    </w:r>
    <w:r w:rsidR="00CB24BE">
      <w:rPr>
        <w:rStyle w:val="slostrnky"/>
        <w:rFonts w:ascii="Arial" w:hAnsi="Arial" w:cs="Arial"/>
        <w:noProof/>
        <w:color w:val="7F7F7F" w:themeColor="text1" w:themeTint="80"/>
        <w:sz w:val="20"/>
        <w:szCs w:val="20"/>
      </w:rPr>
      <w:t>1</w:t>
    </w:r>
    <w:r w:rsidRPr="008306C1">
      <w:rPr>
        <w:rStyle w:val="slostrnky"/>
        <w:rFonts w:ascii="Arial" w:hAnsi="Arial" w:cs="Arial"/>
        <w:color w:val="7F7F7F" w:themeColor="text1" w:themeTint="80"/>
        <w:sz w:val="20"/>
        <w:szCs w:val="20"/>
      </w:rPr>
      <w:fldChar w:fldCharType="end"/>
    </w:r>
  </w:p>
  <w:p w14:paraId="22CC08EA" w14:textId="77777777" w:rsidR="000C6AFC" w:rsidRPr="001C72AF" w:rsidRDefault="000C6AFC" w:rsidP="008306C1">
    <w:pPr>
      <w:pStyle w:val="Zpat"/>
      <w:ind w:left="-1701" w:right="360"/>
    </w:pPr>
    <w:r>
      <w:rPr>
        <w:noProof/>
        <w:lang w:eastAsia="cs-CZ"/>
      </w:rPr>
      <w:drawing>
        <wp:inline distT="0" distB="0" distL="0" distR="0" wp14:anchorId="07C9F3C3" wp14:editId="0EE9F1BB">
          <wp:extent cx="7504238" cy="714113"/>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_footer-main.png"/>
                  <pic:cNvPicPr/>
                </pic:nvPicPr>
                <pic:blipFill>
                  <a:blip r:embed="rId1">
                    <a:extLst>
                      <a:ext uri="{28A0092B-C50C-407E-A947-70E740481C1C}">
                        <a14:useLocalDpi xmlns:a14="http://schemas.microsoft.com/office/drawing/2010/main" val="0"/>
                      </a:ext>
                    </a:extLst>
                  </a:blip>
                  <a:stretch>
                    <a:fillRect/>
                  </a:stretch>
                </pic:blipFill>
                <pic:spPr>
                  <a:xfrm>
                    <a:off x="0" y="0"/>
                    <a:ext cx="7504238" cy="71411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42FBF" w14:textId="77777777" w:rsidR="0028502E" w:rsidRDefault="0028502E" w:rsidP="001C72AF">
      <w:r>
        <w:separator/>
      </w:r>
    </w:p>
  </w:footnote>
  <w:footnote w:type="continuationSeparator" w:id="0">
    <w:p w14:paraId="1A7EFC4A" w14:textId="77777777" w:rsidR="0028502E" w:rsidRDefault="0028502E" w:rsidP="001C7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D16FA" w14:textId="77777777" w:rsidR="000C6AFC" w:rsidRDefault="000C6AFC" w:rsidP="001C72AF">
    <w:pPr>
      <w:pStyle w:val="Zhlav"/>
      <w:ind w:left="-1800"/>
    </w:pPr>
    <w:r>
      <w:rPr>
        <w:noProof/>
        <w:lang w:eastAsia="cs-CZ"/>
      </w:rPr>
      <w:drawing>
        <wp:inline distT="0" distB="0" distL="0" distR="0" wp14:anchorId="110E98CE" wp14:editId="10385A91">
          <wp:extent cx="7559994" cy="12589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1.png"/>
                  <pic:cNvPicPr/>
                </pic:nvPicPr>
                <pic:blipFill>
                  <a:blip r:embed="rId1">
                    <a:extLst>
                      <a:ext uri="{28A0092B-C50C-407E-A947-70E740481C1C}">
                        <a14:useLocalDpi xmlns:a14="http://schemas.microsoft.com/office/drawing/2010/main" val="0"/>
                      </a:ext>
                    </a:extLst>
                  </a:blip>
                  <a:stretch>
                    <a:fillRect/>
                  </a:stretch>
                </pic:blipFill>
                <pic:spPr>
                  <a:xfrm>
                    <a:off x="0" y="0"/>
                    <a:ext cx="7559994" cy="1258982"/>
                  </a:xfrm>
                  <a:prstGeom prst="rect">
                    <a:avLst/>
                  </a:prstGeom>
                </pic:spPr>
              </pic:pic>
            </a:graphicData>
          </a:graphic>
        </wp:inline>
      </w:drawing>
    </w:r>
  </w:p>
  <w:p w14:paraId="775753E7" w14:textId="77777777" w:rsidR="000C6AFC" w:rsidRDefault="000C6AFC" w:rsidP="001C72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95B53"/>
    <w:multiLevelType w:val="hybridMultilevel"/>
    <w:tmpl w:val="70CEF0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174B57F9"/>
    <w:multiLevelType w:val="hybridMultilevel"/>
    <w:tmpl w:val="D89EA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DA2381"/>
    <w:multiLevelType w:val="hybridMultilevel"/>
    <w:tmpl w:val="6256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02ADE"/>
    <w:multiLevelType w:val="multilevel"/>
    <w:tmpl w:val="BDAE2EC4"/>
    <w:lvl w:ilvl="0">
      <w:start w:val="1"/>
      <w:numFmt w:val="decimal"/>
      <w:lvlText w:val="%1."/>
      <w:lvlJc w:val="left"/>
      <w:pPr>
        <w:ind w:left="360" w:hanging="360"/>
      </w:pPr>
      <w:rPr>
        <w:b/>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A6"/>
    <w:rsid w:val="00023486"/>
    <w:rsid w:val="000C6AFC"/>
    <w:rsid w:val="000D3D3E"/>
    <w:rsid w:val="00160E7F"/>
    <w:rsid w:val="001825DB"/>
    <w:rsid w:val="001B6CB8"/>
    <w:rsid w:val="001C1677"/>
    <w:rsid w:val="001C72AF"/>
    <w:rsid w:val="00201EA9"/>
    <w:rsid w:val="00242829"/>
    <w:rsid w:val="00261453"/>
    <w:rsid w:val="0028502E"/>
    <w:rsid w:val="002E52F4"/>
    <w:rsid w:val="00356737"/>
    <w:rsid w:val="003C6ED3"/>
    <w:rsid w:val="004A38DE"/>
    <w:rsid w:val="0058042F"/>
    <w:rsid w:val="00582E3A"/>
    <w:rsid w:val="005C5A2F"/>
    <w:rsid w:val="00641E11"/>
    <w:rsid w:val="00667B8D"/>
    <w:rsid w:val="006E6B77"/>
    <w:rsid w:val="00703B7C"/>
    <w:rsid w:val="007567B0"/>
    <w:rsid w:val="007E345F"/>
    <w:rsid w:val="00802865"/>
    <w:rsid w:val="008306C1"/>
    <w:rsid w:val="00844C49"/>
    <w:rsid w:val="008C2131"/>
    <w:rsid w:val="008C79A6"/>
    <w:rsid w:val="008D5E9A"/>
    <w:rsid w:val="00900CA5"/>
    <w:rsid w:val="0094705B"/>
    <w:rsid w:val="00953F15"/>
    <w:rsid w:val="009811C6"/>
    <w:rsid w:val="009E47CC"/>
    <w:rsid w:val="009F62ED"/>
    <w:rsid w:val="00AF1441"/>
    <w:rsid w:val="00B324C5"/>
    <w:rsid w:val="00B464C9"/>
    <w:rsid w:val="00C60B70"/>
    <w:rsid w:val="00C7645D"/>
    <w:rsid w:val="00CB24BE"/>
    <w:rsid w:val="00CD0AF1"/>
    <w:rsid w:val="00D30A14"/>
    <w:rsid w:val="00DB2203"/>
    <w:rsid w:val="00EE5571"/>
    <w:rsid w:val="00F11998"/>
    <w:rsid w:val="00F35A6F"/>
    <w:rsid w:val="00F6360F"/>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3AB278"/>
  <w15:docId w15:val="{0E4228F4-3559-4823-A4CD-4A7D4504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E9A"/>
    <w:pPr>
      <w:spacing w:after="200" w:line="276" w:lineRule="auto"/>
    </w:pPr>
    <w:rPr>
      <w:rFonts w:eastAsiaTheme="minorHAnsi"/>
      <w:sz w:val="22"/>
      <w:szCs w:val="22"/>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3F15"/>
    <w:pPr>
      <w:ind w:left="720"/>
      <w:contextualSpacing/>
    </w:pPr>
  </w:style>
  <w:style w:type="paragraph" w:styleId="Zhlav">
    <w:name w:val="header"/>
    <w:basedOn w:val="Normln"/>
    <w:link w:val="ZhlavChar"/>
    <w:uiPriority w:val="99"/>
    <w:unhideWhenUsed/>
    <w:rsid w:val="001C72AF"/>
    <w:pPr>
      <w:tabs>
        <w:tab w:val="center" w:pos="4677"/>
        <w:tab w:val="right" w:pos="9355"/>
      </w:tabs>
    </w:pPr>
  </w:style>
  <w:style w:type="character" w:customStyle="1" w:styleId="ZhlavChar">
    <w:name w:val="Záhlaví Char"/>
    <w:basedOn w:val="Standardnpsmoodstavce"/>
    <w:link w:val="Zhlav"/>
    <w:uiPriority w:val="99"/>
    <w:rsid w:val="001C72AF"/>
  </w:style>
  <w:style w:type="paragraph" w:styleId="Zpat">
    <w:name w:val="footer"/>
    <w:basedOn w:val="Normln"/>
    <w:link w:val="ZpatChar"/>
    <w:uiPriority w:val="99"/>
    <w:unhideWhenUsed/>
    <w:rsid w:val="001C72AF"/>
    <w:pPr>
      <w:tabs>
        <w:tab w:val="center" w:pos="4677"/>
        <w:tab w:val="right" w:pos="9355"/>
      </w:tabs>
    </w:pPr>
  </w:style>
  <w:style w:type="character" w:customStyle="1" w:styleId="ZpatChar">
    <w:name w:val="Zápatí Char"/>
    <w:basedOn w:val="Standardnpsmoodstavce"/>
    <w:link w:val="Zpat"/>
    <w:uiPriority w:val="99"/>
    <w:rsid w:val="001C72AF"/>
  </w:style>
  <w:style w:type="paragraph" w:styleId="Textbubliny">
    <w:name w:val="Balloon Text"/>
    <w:basedOn w:val="Normln"/>
    <w:link w:val="TextbublinyChar"/>
    <w:uiPriority w:val="99"/>
    <w:semiHidden/>
    <w:unhideWhenUsed/>
    <w:rsid w:val="001C72AF"/>
    <w:rPr>
      <w:rFonts w:ascii="Tahoma" w:hAnsi="Tahoma" w:cs="Tahoma"/>
      <w:sz w:val="16"/>
      <w:szCs w:val="16"/>
    </w:rPr>
  </w:style>
  <w:style w:type="character" w:customStyle="1" w:styleId="TextbublinyChar">
    <w:name w:val="Text bubliny Char"/>
    <w:basedOn w:val="Standardnpsmoodstavce"/>
    <w:link w:val="Textbubliny"/>
    <w:uiPriority w:val="99"/>
    <w:semiHidden/>
    <w:rsid w:val="001C72AF"/>
    <w:rPr>
      <w:rFonts w:ascii="Tahoma" w:hAnsi="Tahoma" w:cs="Tahoma"/>
      <w:sz w:val="16"/>
      <w:szCs w:val="16"/>
    </w:rPr>
  </w:style>
  <w:style w:type="table" w:styleId="Mkatabulky">
    <w:name w:val="Table Grid"/>
    <w:basedOn w:val="Normlntabulka"/>
    <w:uiPriority w:val="59"/>
    <w:rsid w:val="0016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3">
    <w:name w:val="Light List Accent 3"/>
    <w:basedOn w:val="Normlntabulka"/>
    <w:uiPriority w:val="61"/>
    <w:rsid w:val="00160E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lid-translation">
    <w:name w:val="tlid-translation"/>
    <w:basedOn w:val="Standardnpsmoodstavce"/>
    <w:rsid w:val="008D5E9A"/>
  </w:style>
  <w:style w:type="character" w:styleId="slostrnky">
    <w:name w:val="page number"/>
    <w:basedOn w:val="Standardnpsmoodstavce"/>
    <w:uiPriority w:val="99"/>
    <w:semiHidden/>
    <w:unhideWhenUsed/>
    <w:rsid w:val="0002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6228">
      <w:bodyDiv w:val="1"/>
      <w:marLeft w:val="0"/>
      <w:marRight w:val="0"/>
      <w:marTop w:val="0"/>
      <w:marBottom w:val="0"/>
      <w:divBdr>
        <w:top w:val="none" w:sz="0" w:space="0" w:color="auto"/>
        <w:left w:val="none" w:sz="0" w:space="0" w:color="auto"/>
        <w:bottom w:val="none" w:sz="0" w:space="0" w:color="auto"/>
        <w:right w:val="none" w:sz="0" w:space="0" w:color="auto"/>
      </w:divBdr>
    </w:div>
    <w:div w:id="643659556">
      <w:bodyDiv w:val="1"/>
      <w:marLeft w:val="0"/>
      <w:marRight w:val="0"/>
      <w:marTop w:val="0"/>
      <w:marBottom w:val="0"/>
      <w:divBdr>
        <w:top w:val="none" w:sz="0" w:space="0" w:color="auto"/>
        <w:left w:val="none" w:sz="0" w:space="0" w:color="auto"/>
        <w:bottom w:val="none" w:sz="0" w:space="0" w:color="auto"/>
        <w:right w:val="none" w:sz="0" w:space="0" w:color="auto"/>
      </w:divBdr>
    </w:div>
    <w:div w:id="1510750816">
      <w:bodyDiv w:val="1"/>
      <w:marLeft w:val="0"/>
      <w:marRight w:val="0"/>
      <w:marTop w:val="0"/>
      <w:marBottom w:val="0"/>
      <w:divBdr>
        <w:top w:val="none" w:sz="0" w:space="0" w:color="auto"/>
        <w:left w:val="none" w:sz="0" w:space="0" w:color="auto"/>
        <w:bottom w:val="none" w:sz="0" w:space="0" w:color="auto"/>
        <w:right w:val="none" w:sz="0" w:space="0" w:color="auto"/>
      </w:divBdr>
    </w:div>
    <w:div w:id="1698509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645E-41AF-4ACE-B24E-6064CC27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1463</Words>
  <Characters>8635</Characters>
  <Application>Microsoft Office Word</Application>
  <DocSecurity>0</DocSecurity>
  <Lines>71</Lines>
  <Paragraphs>20</Paragraphs>
  <ScaleCrop>false</ScaleCrop>
  <Company>Energy4free s.r.o.</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Starodubov</dc:creator>
  <cp:lastModifiedBy>Karolina Iastreb</cp:lastModifiedBy>
  <cp:revision>3</cp:revision>
  <cp:lastPrinted>2019-11-29T09:17:00Z</cp:lastPrinted>
  <dcterms:created xsi:type="dcterms:W3CDTF">2020-01-17T09:02:00Z</dcterms:created>
  <dcterms:modified xsi:type="dcterms:W3CDTF">2023-08-01T12:37:00Z</dcterms:modified>
</cp:coreProperties>
</file>